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8313" w14:textId="77777777" w:rsidR="007A7AD3" w:rsidRDefault="007A7AD3" w:rsidP="00A840BB">
      <w:pPr>
        <w:pStyle w:val="Default"/>
      </w:pPr>
    </w:p>
    <w:p w14:paraId="59346376" w14:textId="1CC79DAB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UMOW</w:t>
      </w:r>
      <w:r w:rsidR="001E0606">
        <w:rPr>
          <w:b/>
          <w:bCs/>
          <w:sz w:val="23"/>
          <w:szCs w:val="23"/>
          <w:lang w:val="pl-PL"/>
        </w:rPr>
        <w:t>A</w:t>
      </w:r>
      <w:r w:rsidRPr="0074440F">
        <w:rPr>
          <w:b/>
          <w:bCs/>
          <w:sz w:val="23"/>
          <w:szCs w:val="23"/>
          <w:lang w:val="pl-PL"/>
        </w:rPr>
        <w:t xml:space="preserve"> MIĘDZY BENEFICJENTEM A UCZESTNIKIEM MOBILNOŚCI PROGRAMU ERASMUS+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79EAF168" w:rsidR="00167A91" w:rsidRPr="001E0606" w:rsidRDefault="00167A91" w:rsidP="00A840BB">
      <w:pPr>
        <w:jc w:val="center"/>
        <w:rPr>
          <w:b/>
          <w:bCs/>
          <w:sz w:val="24"/>
          <w:szCs w:val="24"/>
          <w:highlight w:val="cyan"/>
          <w:lang w:val="pl-PL"/>
        </w:rPr>
      </w:pPr>
      <w:r>
        <w:rPr>
          <w:sz w:val="24"/>
          <w:szCs w:val="24"/>
          <w:lang w:val="nl-BE"/>
        </w:rPr>
        <w:t xml:space="preserve">Projekt nr: </w:t>
      </w:r>
      <w:r w:rsidR="001E0606" w:rsidRPr="001E0606">
        <w:rPr>
          <w:sz w:val="24"/>
          <w:szCs w:val="24"/>
          <w:lang w:val="nl-BE"/>
        </w:rPr>
        <w:t>2024-1-PL01-KA131-HED-000197178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23DB8554" w14:textId="77777777" w:rsidR="001E0606" w:rsidRPr="000C61D8" w:rsidRDefault="001E0606" w:rsidP="001E0606">
      <w:pPr>
        <w:rPr>
          <w:sz w:val="24"/>
          <w:szCs w:val="24"/>
          <w:lang w:val="pl-PL"/>
        </w:rPr>
      </w:pPr>
      <w:r w:rsidRPr="000C61D8">
        <w:rPr>
          <w:sz w:val="24"/>
          <w:szCs w:val="24"/>
          <w:lang w:val="pl-PL"/>
        </w:rPr>
        <w:t>Instytut Fizyki Polskiej Akademii Nauk, Kod Erasmusa PL WARSZAW22</w:t>
      </w:r>
    </w:p>
    <w:p w14:paraId="3796A0C3" w14:textId="77777777" w:rsidR="001E0606" w:rsidRDefault="001E0606" w:rsidP="001E0606">
      <w:pPr>
        <w:rPr>
          <w:sz w:val="24"/>
          <w:szCs w:val="24"/>
          <w:lang w:val="pl-PL"/>
        </w:rPr>
      </w:pPr>
      <w:r w:rsidRPr="000C61D8">
        <w:rPr>
          <w:sz w:val="24"/>
          <w:szCs w:val="24"/>
          <w:lang w:val="pl-PL"/>
        </w:rPr>
        <w:t xml:space="preserve">Adres: </w:t>
      </w:r>
      <w:r>
        <w:rPr>
          <w:sz w:val="24"/>
          <w:szCs w:val="24"/>
          <w:lang w:val="pl-PL"/>
        </w:rPr>
        <w:t>a</w:t>
      </w:r>
      <w:r w:rsidRPr="000C61D8">
        <w:rPr>
          <w:sz w:val="24"/>
          <w:szCs w:val="24"/>
          <w:lang w:val="pl-PL"/>
        </w:rPr>
        <w:t>leja Lotników 32/46, 02-668 Warszawa</w:t>
      </w:r>
    </w:p>
    <w:p w14:paraId="28A229FD" w14:textId="77777777" w:rsidR="001E0606" w:rsidRPr="00F93637" w:rsidRDefault="001E0606" w:rsidP="001E0606">
      <w:pPr>
        <w:rPr>
          <w:sz w:val="24"/>
          <w:szCs w:val="24"/>
          <w:lang w:val="pl-PL"/>
        </w:rPr>
      </w:pPr>
      <w:r w:rsidRPr="00F93637">
        <w:rPr>
          <w:sz w:val="24"/>
          <w:szCs w:val="24"/>
          <w:lang w:val="pl-PL"/>
        </w:rPr>
        <w:t>E-mail: kancelaria@ifpan.edu.pl</w:t>
      </w:r>
    </w:p>
    <w:p w14:paraId="7A965051" w14:textId="5049374E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26DA3840" w14:textId="4089566C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 do celów podpisania niniejszej umowy przez </w:t>
      </w:r>
      <w:r w:rsidR="001E0606" w:rsidRPr="004170CC">
        <w:rPr>
          <w:sz w:val="24"/>
          <w:szCs w:val="24"/>
          <w:lang w:val="pl-PL"/>
        </w:rPr>
        <w:t xml:space="preserve">prof. dr hab. Romana </w:t>
      </w:r>
      <w:proofErr w:type="spellStart"/>
      <w:r w:rsidR="001E0606" w:rsidRPr="004170CC">
        <w:rPr>
          <w:sz w:val="24"/>
          <w:szCs w:val="24"/>
          <w:lang w:val="pl-PL"/>
        </w:rPr>
        <w:t>Puźniaka</w:t>
      </w:r>
      <w:proofErr w:type="spellEnd"/>
      <w:r w:rsidR="001E0606">
        <w:rPr>
          <w:sz w:val="24"/>
          <w:szCs w:val="24"/>
          <w:lang w:val="pl-PL"/>
        </w:rPr>
        <w:t xml:space="preserve">, </w:t>
      </w:r>
      <w:r w:rsidR="001E0606" w:rsidRPr="001E0606">
        <w:rPr>
          <w:sz w:val="24"/>
          <w:szCs w:val="24"/>
          <w:lang w:val="pl-PL"/>
        </w:rPr>
        <w:t>Dyrektora Instytutu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0B256079" w:rsidR="004F5366" w:rsidRPr="00B9298F" w:rsidRDefault="008536BC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– </w:t>
      </w:r>
      <w:r w:rsidR="00B9298F" w:rsidRPr="00B9298F">
        <w:rPr>
          <w:sz w:val="24"/>
          <w:szCs w:val="24"/>
          <w:lang w:val="pl-PL"/>
        </w:rPr>
        <w:t>Warunki ogólne</w:t>
      </w:r>
    </w:p>
    <w:p w14:paraId="3FEAAED5" w14:textId="72292852" w:rsidR="004F5366" w:rsidRPr="008536BC" w:rsidRDefault="008536BC" w:rsidP="008536BC">
      <w:pPr>
        <w:tabs>
          <w:tab w:val="left" w:pos="1985"/>
        </w:tabs>
        <w:rPr>
          <w:sz w:val="24"/>
          <w:szCs w:val="24"/>
          <w:lang w:val="pl-PL"/>
        </w:rPr>
      </w:pPr>
      <w:r w:rsidRPr="008536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5366" w:rsidRPr="008536BC">
        <w:rPr>
          <w:sz w:val="24"/>
          <w:szCs w:val="24"/>
        </w:rPr>
        <w:t xml:space="preserve">Załącznik </w:t>
      </w:r>
      <w:r w:rsidR="00B9298F" w:rsidRPr="008536BC">
        <w:rPr>
          <w:sz w:val="24"/>
          <w:szCs w:val="24"/>
        </w:rPr>
        <w:t>1</w:t>
      </w:r>
      <w:r w:rsidRPr="008536BC">
        <w:rPr>
          <w:sz w:val="24"/>
          <w:szCs w:val="24"/>
        </w:rPr>
        <w:t> :</w:t>
      </w:r>
      <w:r w:rsidR="004F5366" w:rsidRPr="008536BC">
        <w:rPr>
          <w:sz w:val="24"/>
          <w:szCs w:val="24"/>
        </w:rPr>
        <w:t xml:space="preserve"> </w:t>
      </w:r>
      <w:r w:rsidR="002F7D44" w:rsidRPr="00B9298F">
        <w:rPr>
          <w:sz w:val="24"/>
          <w:szCs w:val="24"/>
          <w:lang w:val="pl-PL"/>
        </w:rPr>
        <w:t>„Porozumienie o programie praktyki w programie Erasmus+”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3EFAEF9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obejmuje:</w:t>
      </w:r>
    </w:p>
    <w:p w14:paraId="3D9EEAF8" w14:textId="77777777" w:rsidR="002F7D44" w:rsidRPr="00B9298F" w:rsidRDefault="002F7D44" w:rsidP="002F7D44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lastRenderedPageBreak/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14A8F467" w14:textId="77777777" w:rsidR="002F7D44" w:rsidRPr="00B9298F" w:rsidRDefault="002F7D44" w:rsidP="002F7D44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30B4D1C2" w14:textId="77777777" w:rsidR="002F7D44" w:rsidRPr="00B9298F" w:rsidRDefault="002F7D44" w:rsidP="002F7D44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23DFDE1D" w14:textId="77777777" w:rsidR="002F7D44" w:rsidRPr="00B9298F" w:rsidRDefault="002F7D44" w:rsidP="002F7D44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5E58C1D2" w14:textId="77777777" w:rsidR="002F7D44" w:rsidRPr="00B9298F" w:rsidRDefault="002F7D44" w:rsidP="002F7D44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przy wykorzystaniu lub bez wykorzystania ekologicznych/zrównoważonych środków transportu)</w:t>
      </w:r>
    </w:p>
    <w:p w14:paraId="0E10737A" w14:textId="77777777" w:rsidR="002F7D44" w:rsidRPr="00B9298F" w:rsidRDefault="002F7D44" w:rsidP="002F7D44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0D5A2872" w14:textId="77777777" w:rsidR="002F7D44" w:rsidRPr="00B9298F" w:rsidRDefault="002F7D44" w:rsidP="002F7D44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50F72874" w14:textId="441A3CE5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149CA885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Uczestnik otrzymuje:</w:t>
      </w:r>
    </w:p>
    <w:p w14:paraId="6941786C" w14:textId="048D0195" w:rsidR="00B9298F" w:rsidRPr="00B9298F" w:rsidRDefault="00AA7937" w:rsidP="00A840BB">
      <w:pPr>
        <w:jc w:val="both"/>
        <w:rPr>
          <w:sz w:val="24"/>
          <w:szCs w:val="24"/>
          <w:lang w:val="pl-PL"/>
        </w:rPr>
      </w:pPr>
      <w:r w:rsidRPr="00AA7937">
        <w:rPr>
          <w:snapToGrid/>
          <w:sz w:val="28"/>
          <w:szCs w:val="28"/>
          <w:lang w:val="pl-PL"/>
        </w:rPr>
        <w:sym w:font="Wingdings" w:char="F06E"/>
      </w:r>
      <w:r w:rsidR="00B9298F" w:rsidRPr="00B9298F">
        <w:rPr>
          <w:sz w:val="24"/>
          <w:szCs w:val="24"/>
          <w:lang w:val="pl-PL"/>
        </w:rPr>
        <w:t xml:space="preserve">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64AB47E3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 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AA7937">
        <w:rPr>
          <w:sz w:val="24"/>
          <w:szCs w:val="24"/>
          <w:lang w:val="pl-PL"/>
        </w:rPr>
        <w:t>ść mobilności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434DE8A7" w14:textId="6C9DE4FF" w:rsidR="001B6040" w:rsidRPr="00AA7937" w:rsidRDefault="00632594" w:rsidP="00AA7937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</w:p>
    <w:p w14:paraId="77BA7573" w14:textId="6C62F7F3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>2.4  Rzeczywiste daty rozpoczęcia i</w:t>
      </w:r>
      <w:r w:rsidR="00AA7937">
        <w:rPr>
          <w:sz w:val="24"/>
          <w:szCs w:val="24"/>
          <w:lang w:val="pl-PL"/>
        </w:rPr>
        <w:t xml:space="preserve"> zakończenia okresu mobilności</w:t>
      </w:r>
      <w:r w:rsidRPr="001B6040">
        <w:rPr>
          <w:sz w:val="24"/>
          <w:szCs w:val="24"/>
          <w:lang w:val="pl-PL"/>
        </w:rPr>
        <w:t>, muszą być określone w</w:t>
      </w:r>
      <w:r w:rsidR="00AA7937">
        <w:rPr>
          <w:sz w:val="24"/>
          <w:szCs w:val="24"/>
          <w:highlight w:val="lightGray"/>
          <w:lang w:val="pl-PL"/>
        </w:rPr>
        <w:t xml:space="preserve"> </w:t>
      </w:r>
      <w:r w:rsidR="000E0DD8" w:rsidRPr="000E0DD8">
        <w:rPr>
          <w:sz w:val="24"/>
          <w:szCs w:val="24"/>
          <w:lang w:val="pl-PL"/>
        </w:rPr>
        <w:t>„Zaświadczeniu o odbyciu praktyki” (sekcja „</w:t>
      </w:r>
      <w:proofErr w:type="spellStart"/>
      <w:r w:rsidR="000E0DD8" w:rsidRPr="000E0DD8">
        <w:rPr>
          <w:sz w:val="24"/>
          <w:szCs w:val="24"/>
          <w:lang w:val="pl-PL"/>
        </w:rPr>
        <w:t>After</w:t>
      </w:r>
      <w:proofErr w:type="spellEnd"/>
      <w:r w:rsidR="000E0DD8" w:rsidRPr="000E0DD8">
        <w:rPr>
          <w:sz w:val="24"/>
          <w:szCs w:val="24"/>
          <w:lang w:val="pl-PL"/>
        </w:rPr>
        <w:t xml:space="preserve"> the </w:t>
      </w:r>
      <w:proofErr w:type="spellStart"/>
      <w:r w:rsidR="000E0DD8" w:rsidRPr="000E0DD8">
        <w:rPr>
          <w:sz w:val="24"/>
          <w:szCs w:val="24"/>
          <w:lang w:val="pl-PL"/>
        </w:rPr>
        <w:t>Mobility</w:t>
      </w:r>
      <w:proofErr w:type="spellEnd"/>
      <w:r w:rsidR="000E0DD8" w:rsidRPr="000E0DD8">
        <w:rPr>
          <w:sz w:val="24"/>
          <w:szCs w:val="24"/>
          <w:lang w:val="pl-PL"/>
        </w:rPr>
        <w:t>” w Porozumieniu o programie praktyki w programie Erasmus+ (Załącznik 1)).</w:t>
      </w:r>
      <w:r w:rsidR="000E0DD8">
        <w:rPr>
          <w:sz w:val="24"/>
          <w:szCs w:val="24"/>
          <w:lang w:val="pl-PL"/>
        </w:rPr>
        <w:t>`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6F5D908E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="00AA7937">
        <w:rPr>
          <w:sz w:val="24"/>
          <w:szCs w:val="24"/>
          <w:lang w:val="pl-PL"/>
        </w:rPr>
        <w:t>,</w:t>
      </w:r>
      <w:r w:rsidRPr="1019DF31">
        <w:rPr>
          <w:sz w:val="24"/>
          <w:szCs w:val="24"/>
          <w:lang w:val="pl-PL"/>
        </w:rPr>
        <w:t xml:space="preserve"> 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.</w:t>
      </w:r>
    </w:p>
    <w:p w14:paraId="31FFB279" w14:textId="737F9098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[…]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>dni</w:t>
      </w:r>
      <w:r w:rsidRPr="2031D444">
        <w:rPr>
          <w:sz w:val="24"/>
          <w:szCs w:val="24"/>
          <w:lang w:val="pl-PL"/>
        </w:rPr>
        <w:t>.</w:t>
      </w:r>
    </w:p>
    <w:p w14:paraId="396E8C8C" w14:textId="21A97426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0E0DD8">
        <w:rPr>
          <w:sz w:val="24"/>
          <w:szCs w:val="24"/>
          <w:lang w:val="pl-PL"/>
        </w:rPr>
        <w:t>[…]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 xml:space="preserve">dni.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</w:t>
      </w:r>
      <w:r w:rsidRPr="2031D444">
        <w:rPr>
          <w:sz w:val="24"/>
          <w:szCs w:val="24"/>
          <w:lang w:val="pl-PL"/>
        </w:rPr>
        <w:t>a</w:t>
      </w:r>
      <w:r w:rsidRPr="2031D444">
        <w:rPr>
          <w:sz w:val="24"/>
          <w:szCs w:val="24"/>
          <w:lang w:val="pl-PL"/>
        </w:rPr>
        <w:t>kresie.</w:t>
      </w:r>
    </w:p>
    <w:p w14:paraId="17A0C3F2" w14:textId="60A9DAB5" w:rsidR="00B221E1" w:rsidRDefault="00322E1A" w:rsidP="00AA7937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7ED8CC96"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000E0DD8" w:rsidRPr="00234FDA">
        <w:rPr>
          <w:i/>
          <w:iCs/>
          <w:color w:val="00B050"/>
          <w:sz w:val="24"/>
          <w:szCs w:val="24"/>
          <w:lang w:val="pl-PL"/>
        </w:rPr>
        <w:t>[jeśli dotyczy:</w:t>
      </w:r>
      <w:r w:rsidR="000E0DD8">
        <w:rPr>
          <w:color w:val="00B050"/>
          <w:sz w:val="24"/>
          <w:szCs w:val="24"/>
          <w:lang w:val="pl-PL"/>
        </w:rPr>
        <w:t xml:space="preserve"> </w:t>
      </w:r>
      <w:r w:rsidR="1CD2339C" w:rsidRPr="2031D444">
        <w:rPr>
          <w:sz w:val="24"/>
          <w:szCs w:val="24"/>
          <w:lang w:val="pl-PL"/>
        </w:rPr>
        <w:t>oraz dni podróży</w:t>
      </w:r>
      <w:r w:rsidR="000E0DD8" w:rsidRPr="000E0DD8">
        <w:rPr>
          <w:i/>
          <w:color w:val="00B050"/>
          <w:sz w:val="24"/>
          <w:szCs w:val="24"/>
          <w:lang w:val="pl-PL"/>
        </w:rPr>
        <w:t>]</w:t>
      </w:r>
      <w:r w:rsidR="1CD2339C" w:rsidRPr="2031D444">
        <w:rPr>
          <w:color w:val="00B050"/>
          <w:sz w:val="24"/>
          <w:szCs w:val="24"/>
          <w:lang w:val="pl-PL"/>
        </w:rPr>
        <w:t xml:space="preserve"> </w:t>
      </w:r>
      <w:r w:rsidR="0081292B" w:rsidRPr="00AA7937">
        <w:rPr>
          <w:sz w:val="24"/>
          <w:szCs w:val="24"/>
          <w:lang w:val="pl-PL"/>
        </w:rPr>
        <w:t xml:space="preserve">w formie płatności </w:t>
      </w:r>
      <w:r w:rsidR="7ED8CC96" w:rsidRPr="2031D444">
        <w:rPr>
          <w:sz w:val="24"/>
          <w:szCs w:val="24"/>
          <w:lang w:val="pl-PL"/>
        </w:rPr>
        <w:t xml:space="preserve">w wysokości </w:t>
      </w:r>
      <w:r w:rsidR="7ED8CC96" w:rsidRPr="2031D444">
        <w:rPr>
          <w:sz w:val="24"/>
          <w:szCs w:val="24"/>
          <w:highlight w:val="lightGray"/>
          <w:lang w:val="pl-PL"/>
        </w:rPr>
        <w:t>[…</w:t>
      </w:r>
      <w:r w:rsidR="00AA7937">
        <w:rPr>
          <w:sz w:val="24"/>
          <w:szCs w:val="24"/>
          <w:lang w:val="pl-PL"/>
        </w:rPr>
        <w:t>]</w:t>
      </w:r>
      <w:r w:rsidR="7ED8CC96" w:rsidRPr="2031D444">
        <w:rPr>
          <w:sz w:val="24"/>
          <w:szCs w:val="24"/>
          <w:lang w:val="pl-PL"/>
        </w:rPr>
        <w:t xml:space="preserve"> </w:t>
      </w:r>
      <w:proofErr w:type="spellStart"/>
      <w:r w:rsidR="7ED8CC96" w:rsidRPr="2031D444">
        <w:rPr>
          <w:sz w:val="24"/>
          <w:szCs w:val="24"/>
          <w:lang w:val="pl-PL"/>
        </w:rPr>
        <w:t>EUR</w:t>
      </w:r>
      <w:proofErr w:type="spellEnd"/>
      <w:r w:rsidR="00AA7937">
        <w:rPr>
          <w:sz w:val="24"/>
          <w:szCs w:val="24"/>
          <w:lang w:val="pl-PL"/>
        </w:rPr>
        <w:t>.</w:t>
      </w:r>
      <w:bookmarkStart w:id="0" w:name="_Hlk111717169"/>
    </w:p>
    <w:bookmarkEnd w:id="0"/>
    <w:p w14:paraId="0D89CFD1" w14:textId="3C276A83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>Wkład na pokrycie kosztów poniesionych w związku z podróżą lub specjalnymi potrzebami (</w:t>
      </w:r>
      <w:r w:rsidR="00790AC7" w:rsidRPr="00790AC7">
        <w:rPr>
          <w:sz w:val="24"/>
          <w:szCs w:val="24"/>
          <w:lang w:val="pl-PL"/>
        </w:rPr>
        <w:t xml:space="preserve">wsparcie włączenia, dopłata uzupełniająca z tytułu podróży </w:t>
      </w:r>
      <w:proofErr w:type="spellStart"/>
      <w:r w:rsidR="00790AC7" w:rsidRPr="00790AC7">
        <w:rPr>
          <w:sz w:val="24"/>
          <w:szCs w:val="24"/>
          <w:lang w:val="pl-PL"/>
        </w:rPr>
        <w:t>ekologicz-nymi</w:t>
      </w:r>
      <w:proofErr w:type="spellEnd"/>
      <w:r w:rsidR="00790AC7" w:rsidRPr="00790AC7">
        <w:rPr>
          <w:sz w:val="24"/>
          <w:szCs w:val="24"/>
          <w:lang w:val="pl-PL"/>
        </w:rPr>
        <w:t>/zrównoważonymi środkami transportu, czy dopłata uzupełniająca dla osób z mniejszymi szansami</w:t>
      </w:r>
      <w:r w:rsidRPr="2031D444">
        <w:rPr>
          <w:sz w:val="24"/>
          <w:szCs w:val="24"/>
          <w:lang w:val="pl-PL"/>
        </w:rPr>
        <w:t>) będzie wyliczony w oparciu o w</w:t>
      </w:r>
      <w:r w:rsidRPr="2031D444">
        <w:rPr>
          <w:sz w:val="24"/>
          <w:szCs w:val="24"/>
          <w:lang w:val="pl-PL"/>
        </w:rPr>
        <w:t>y</w:t>
      </w:r>
      <w:r w:rsidRPr="2031D444">
        <w:rPr>
          <w:sz w:val="24"/>
          <w:szCs w:val="24"/>
          <w:lang w:val="pl-PL"/>
        </w:rPr>
        <w:t>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 xml:space="preserve">Niemniej, jest ono zgodne z każdym innym źródłem </w:t>
      </w:r>
      <w:r w:rsidR="009855BD" w:rsidRPr="009855BD">
        <w:rPr>
          <w:sz w:val="24"/>
          <w:szCs w:val="24"/>
        </w:rPr>
        <w:lastRenderedPageBreak/>
        <w:t>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1"/>
    <w:p w14:paraId="07BBDE66" w14:textId="23FE0BA4" w:rsidR="00D96181" w:rsidRDefault="00A27893" w:rsidP="00790AC7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</w:r>
      <w:r w:rsidR="00790AC7" w:rsidRPr="00790AC7">
        <w:rPr>
          <w:sz w:val="24"/>
          <w:szCs w:val="24"/>
          <w:lang w:val="pl-PL"/>
        </w:rPr>
        <w:t>Płatność zostanie przekazana Uczestnikowi nie później niż w dniu rozpoczęcia okresu mobilności.</w:t>
      </w:r>
      <w:r w:rsidR="00790AC7">
        <w:rPr>
          <w:sz w:val="24"/>
          <w:szCs w:val="24"/>
          <w:lang w:val="pl-PL"/>
        </w:rPr>
        <w:t>`</w:t>
      </w:r>
    </w:p>
    <w:p w14:paraId="729F0C11" w14:textId="40F5CC58" w:rsidR="00E82961" w:rsidRPr="0074440F" w:rsidRDefault="2C569326" w:rsidP="00790AC7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00790AC7" w:rsidRPr="00790AC7">
        <w:rPr>
          <w:sz w:val="24"/>
          <w:szCs w:val="24"/>
          <w:lang w:val="pl-PL"/>
        </w:rPr>
        <w:t>W celu rozliczenia wyjazdu służbowego zgodnie z zasadami obowiązującymi w Instytucji, Uczestnik przedłoży potwierdzenie okresu mobilności obejmujące faktyczną datę rozpoczęcia i zakończenia okresu mobilności wydane przez organizację przyjmującą.</w:t>
      </w: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0896CF35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</w:r>
      <w:r w:rsidR="00790AC7" w:rsidRPr="004170CC">
        <w:rPr>
          <w:sz w:val="24"/>
          <w:szCs w:val="24"/>
          <w:lang w:val="pl-PL"/>
        </w:rPr>
        <w:t xml:space="preserve">Osoba wyjeżdzająca ubezpieczona jest w ramach „Grupowego Ubezpieczenie Podróży Zagranicznych” zapewnianego przez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90AC7" w:rsidRPr="004170CC">
        <w:rPr>
          <w:sz w:val="24"/>
          <w:szCs w:val="24"/>
          <w:lang w:val="pl-PL"/>
        </w:rPr>
        <w:t xml:space="preserve"> dla swoich pracowników, doktorantów i stypendystów (informacje na stronie internetowej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90AC7" w:rsidRPr="004170CC">
        <w:rPr>
          <w:sz w:val="24"/>
          <w:szCs w:val="24"/>
          <w:lang w:val="pl-PL"/>
        </w:rPr>
        <w:t xml:space="preserve"> dostępne lokalnie: </w:t>
      </w:r>
      <w:hyperlink r:id="rId12" w:history="1">
        <w:r w:rsidR="00790AC7">
          <w:rPr>
            <w:rStyle w:val="Hipercze"/>
            <w:sz w:val="24"/>
            <w:szCs w:val="24"/>
            <w:lang w:val="pl-PL"/>
          </w:rPr>
          <w:t>https://www.ifpan.edu.pl/intranet/ubezpieczenia/sluzbowe-wyjazdy-zagraniczne.html</w:t>
        </w:r>
      </w:hyperlink>
      <w:r w:rsidR="00790AC7" w:rsidRPr="004170CC">
        <w:rPr>
          <w:sz w:val="24"/>
          <w:szCs w:val="24"/>
          <w:lang w:val="pl-PL"/>
        </w:rPr>
        <w:t>)</w:t>
      </w:r>
      <w:r w:rsidR="00713C15">
        <w:rPr>
          <w:rStyle w:val="y2iqfc"/>
          <w:sz w:val="24"/>
          <w:szCs w:val="24"/>
        </w:rPr>
        <w:t>.</w:t>
      </w:r>
    </w:p>
    <w:p w14:paraId="4C830573" w14:textId="0EC29DCD" w:rsidR="00DC3301" w:rsidRPr="00713C15" w:rsidRDefault="00E82961" w:rsidP="00790AC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90AC7" w:rsidRPr="004170CC">
        <w:rPr>
          <w:sz w:val="24"/>
          <w:szCs w:val="24"/>
          <w:lang w:val="pl-PL"/>
        </w:rPr>
        <w:t xml:space="preserve">Obowiązkiem osoby wyjeżdżającej jest przestrzeganie obowiązującej w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90AC7" w:rsidRPr="004170CC">
        <w:rPr>
          <w:sz w:val="24"/>
          <w:szCs w:val="24"/>
          <w:lang w:val="pl-PL"/>
        </w:rPr>
        <w:t xml:space="preserve"> procedury ubezpieczenia służbowych podróży zagranicznych ogłoszonej na </w:t>
      </w:r>
      <w:r w:rsidR="00790AC7">
        <w:rPr>
          <w:sz w:val="24"/>
          <w:szCs w:val="24"/>
          <w:lang w:val="pl-PL"/>
        </w:rPr>
        <w:t xml:space="preserve">wskazanej powyżej </w:t>
      </w:r>
      <w:r w:rsidR="00790AC7" w:rsidRPr="004170CC">
        <w:rPr>
          <w:sz w:val="24"/>
          <w:szCs w:val="24"/>
          <w:lang w:val="pl-PL"/>
        </w:rPr>
        <w:t xml:space="preserve">stronie internetowej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C9B60A" w14:textId="4BD381ED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 xml:space="preserve">) w terminie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</w:t>
      </w:r>
      <w:r>
        <w:rPr>
          <w:b/>
          <w:bCs/>
          <w:sz w:val="24"/>
          <w:szCs w:val="24"/>
          <w:lang w:val="pl-PL"/>
        </w:rPr>
        <w:t>R</w:t>
      </w:r>
      <w:r>
        <w:rPr>
          <w:b/>
          <w:bCs/>
          <w:sz w:val="24"/>
          <w:szCs w:val="24"/>
          <w:lang w:val="pl-PL"/>
        </w:rPr>
        <w:t>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2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z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</w:t>
      </w:r>
      <w:r w:rsidR="1058A4B7" w:rsidRPr="0074440F">
        <w:rPr>
          <w:sz w:val="24"/>
          <w:szCs w:val="24"/>
          <w:lang w:val="pl-PL"/>
        </w:rPr>
        <w:t>e</w:t>
      </w:r>
      <w:r w:rsidR="1058A4B7" w:rsidRPr="0074440F">
        <w:rPr>
          <w:sz w:val="24"/>
          <w:szCs w:val="24"/>
          <w:lang w:val="pl-PL"/>
        </w:rPr>
        <w:t xml:space="preserve">lach określonych w Informacji dotyczącej prywatności dostępnym na stronie: </w:t>
      </w:r>
      <w:hyperlink r:id="rId13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</w:t>
      </w:r>
      <w:r w:rsidR="00EF454D" w:rsidRPr="00456AF0">
        <w:rPr>
          <w:sz w:val="24"/>
          <w:szCs w:val="24"/>
          <w:lang w:val="pl-PL"/>
        </w:rPr>
        <w:t>i</w:t>
      </w:r>
      <w:r w:rsidR="00EF454D" w:rsidRPr="00456AF0">
        <w:rPr>
          <w:sz w:val="24"/>
          <w:szCs w:val="24"/>
          <w:lang w:val="pl-PL"/>
        </w:rPr>
        <w:t>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3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2714FDFE" w:rsidR="009A20DE" w:rsidRPr="009A20DE" w:rsidRDefault="009A20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>12.1</w:t>
      </w:r>
      <w:r w:rsidR="005E3CCA">
        <w:rPr>
          <w:sz w:val="24"/>
          <w:szCs w:val="24"/>
          <w:lang w:val="pl-PL"/>
        </w:rPr>
        <w:tab/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12461E74" w:rsidR="005D7DDE" w:rsidRDefault="008208DF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3B44ABD5" w:rsidR="005D7DDE" w:rsidRDefault="005D7D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5E3CCA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>a) istotnych błędów, nieprawidłowości lub oszustwa lub</w:t>
      </w:r>
    </w:p>
    <w:p w14:paraId="65BAECF9" w14:textId="5480D621" w:rsidR="005D7DDE" w:rsidRDefault="005D7D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5E3CCA">
        <w:rPr>
          <w:sz w:val="24"/>
          <w:szCs w:val="24"/>
          <w:lang w:val="pl-PL"/>
        </w:rPr>
        <w:t xml:space="preserve">  </w:t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>Gdy okoliczności pozwolą na wznowienie realizacji, strony muszą niezwłocznie uzgodnić datę wznowienia (jeden dzień po dacie zakończenia zawieszenia). Zawieszenie z</w:t>
      </w:r>
      <w:r w:rsidRPr="009A20DE">
        <w:rPr>
          <w:sz w:val="24"/>
          <w:szCs w:val="24"/>
          <w:lang w:val="pl-PL"/>
        </w:rPr>
        <w:t>o</w:t>
      </w:r>
      <w:r w:rsidRPr="009A20DE">
        <w:rPr>
          <w:sz w:val="24"/>
          <w:szCs w:val="24"/>
          <w:lang w:val="pl-PL"/>
        </w:rPr>
        <w:t xml:space="preserve">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6DA3A254" w:rsidR="009A20DE" w:rsidRPr="009A20DE" w:rsidRDefault="009A20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3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lastRenderedPageBreak/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</w:t>
      </w:r>
      <w:r w:rsidRPr="009C77A9">
        <w:rPr>
          <w:sz w:val="24"/>
          <w:szCs w:val="24"/>
          <w:lang w:val="pl-PL"/>
        </w:rPr>
        <w:t>o</w:t>
      </w:r>
      <w:r w:rsidRPr="009C77A9">
        <w:rPr>
          <w:sz w:val="24"/>
          <w:szCs w:val="24"/>
          <w:lang w:val="pl-PL"/>
        </w:rPr>
        <w:t>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5E3CCA">
      <w:pPr>
        <w:ind w:left="709" w:hanging="142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lastRenderedPageBreak/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76FE04F3" w14:textId="77777777" w:rsidR="005E3CCA" w:rsidRPr="00E54042" w:rsidRDefault="00EF454D" w:rsidP="005E3CCA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="005E3CCA" w:rsidRPr="004170CC">
        <w:rPr>
          <w:sz w:val="24"/>
          <w:szCs w:val="24"/>
          <w:lang w:val="pl-PL"/>
        </w:rPr>
        <w:t>Dyrektor Instytutu</w:t>
      </w:r>
    </w:p>
    <w:p w14:paraId="46199852" w14:textId="0A10E7B3" w:rsidR="00EF454D" w:rsidRDefault="005E3CCA" w:rsidP="005E3CCA">
      <w:pPr>
        <w:tabs>
          <w:tab w:val="left" w:pos="56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00F93637">
        <w:rPr>
          <w:sz w:val="24"/>
          <w:szCs w:val="24"/>
          <w:lang w:val="pl-PL"/>
        </w:rPr>
        <w:t xml:space="preserve">prof. dr hab. Roman </w:t>
      </w:r>
      <w:proofErr w:type="spellStart"/>
      <w:r w:rsidRPr="00F93637">
        <w:rPr>
          <w:sz w:val="24"/>
          <w:szCs w:val="24"/>
          <w:lang w:val="pl-PL"/>
        </w:rPr>
        <w:t>Puźniak</w:t>
      </w:r>
      <w:proofErr w:type="spellEnd"/>
    </w:p>
    <w:p w14:paraId="45957673" w14:textId="77777777" w:rsidR="005E3CCA" w:rsidRPr="00E54042" w:rsidRDefault="005E3CCA" w:rsidP="005E3CCA">
      <w:pPr>
        <w:tabs>
          <w:tab w:val="left" w:pos="5670"/>
        </w:tabs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63027809" w:rsidR="00EF454D" w:rsidRPr="00F30AF8" w:rsidRDefault="005E3CCA" w:rsidP="00A840BB">
      <w:pPr>
        <w:tabs>
          <w:tab w:val="left" w:pos="56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Warszawa</w:t>
      </w:r>
      <w:r w:rsidR="00EF454D" w:rsidRPr="00E54042">
        <w:rPr>
          <w:sz w:val="24"/>
          <w:szCs w:val="24"/>
          <w:lang w:val="pl-PL"/>
        </w:rPr>
        <w:t>, [</w:t>
      </w:r>
      <w:r w:rsidR="00EF454D" w:rsidRPr="00E54042">
        <w:rPr>
          <w:sz w:val="24"/>
          <w:szCs w:val="24"/>
          <w:highlight w:val="lightGray"/>
          <w:lang w:val="pl-PL"/>
        </w:rPr>
        <w:t>data</w:t>
      </w:r>
      <w:r w:rsidR="00EF454D" w:rsidRPr="00E54042">
        <w:rPr>
          <w:sz w:val="24"/>
          <w:szCs w:val="24"/>
          <w:lang w:val="pl-PL"/>
        </w:rPr>
        <w:t>]</w:t>
      </w:r>
      <w:r w:rsidR="00EF454D" w:rsidRPr="00E54042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Warszawa</w:t>
      </w:r>
      <w:r w:rsidR="00EF454D" w:rsidRPr="00E54042">
        <w:rPr>
          <w:sz w:val="24"/>
          <w:szCs w:val="24"/>
          <w:lang w:val="pl-PL"/>
        </w:rPr>
        <w:t>, [</w:t>
      </w:r>
      <w:r w:rsidR="00EF454D" w:rsidRPr="00E54042">
        <w:rPr>
          <w:sz w:val="24"/>
          <w:szCs w:val="24"/>
          <w:highlight w:val="lightGray"/>
          <w:lang w:val="pl-PL"/>
        </w:rPr>
        <w:t>data</w:t>
      </w:r>
      <w:r w:rsidR="00EF454D"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0BF94BF5" w14:textId="0C4FD7A0" w:rsidR="005E3CCA" w:rsidRDefault="000E0DD8" w:rsidP="005E3CCA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0E0DD8">
        <w:rPr>
          <w:sz w:val="24"/>
          <w:szCs w:val="24"/>
          <w:lang w:val="pl-PL"/>
        </w:rPr>
        <w:t>„Porozumienie o programie prakt</w:t>
      </w:r>
      <w:bookmarkStart w:id="4" w:name="_GoBack"/>
      <w:bookmarkEnd w:id="4"/>
      <w:r w:rsidRPr="000E0DD8">
        <w:rPr>
          <w:sz w:val="24"/>
          <w:szCs w:val="24"/>
          <w:lang w:val="pl-PL"/>
        </w:rPr>
        <w:t>yki w programie Erasmus+”</w:t>
      </w:r>
    </w:p>
    <w:p w14:paraId="77644CB1" w14:textId="5AD4D936" w:rsidR="007A2289" w:rsidRDefault="007A2289" w:rsidP="005E3CCA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5E3CCA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9"/>
      <w:footerReference w:type="default" r:id="rId20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F9E78" w14:textId="77777777" w:rsidR="00EC5D08" w:rsidRDefault="00EC5D08">
      <w:r>
        <w:separator/>
      </w:r>
    </w:p>
  </w:endnote>
  <w:endnote w:type="continuationSeparator" w:id="0">
    <w:p w14:paraId="29EBBBA0" w14:textId="77777777" w:rsidR="00EC5D08" w:rsidRDefault="00EC5D08">
      <w:r>
        <w:continuationSeparator/>
      </w:r>
    </w:p>
  </w:endnote>
  <w:endnote w:type="continuationNotice" w:id="1">
    <w:p w14:paraId="6642F853" w14:textId="77777777" w:rsidR="00EC5D08" w:rsidRDefault="00EC5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0E0DD8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0DD8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C4281" w14:textId="77777777" w:rsidR="00EC5D08" w:rsidRDefault="00EC5D08">
      <w:r>
        <w:separator/>
      </w:r>
    </w:p>
  </w:footnote>
  <w:footnote w:type="continuationSeparator" w:id="0">
    <w:p w14:paraId="27338E26" w14:textId="77777777" w:rsidR="00EC5D08" w:rsidRDefault="00EC5D08">
      <w:r>
        <w:continuationSeparator/>
      </w:r>
    </w:p>
  </w:footnote>
  <w:footnote w:type="continuationNotice" w:id="1">
    <w:p w14:paraId="7A4AA5D2" w14:textId="77777777" w:rsidR="00EC5D08" w:rsidRDefault="00EC5D08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9D18" w14:textId="2E39F147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1E0606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mow</w:t>
    </w:r>
    <w:r w:rsidR="001E0606">
      <w:rPr>
        <w:rFonts w:ascii="Arial Narrow" w:hAnsi="Arial Narrow" w:cs="Arial"/>
        <w:sz w:val="18"/>
        <w:szCs w:val="18"/>
        <w:u w:val="single"/>
        <w:lang w:val="pl-PL"/>
      </w:rPr>
      <w:t>a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F313EA"/>
    <w:multiLevelType w:val="hybridMultilevel"/>
    <w:tmpl w:val="001C6D06"/>
    <w:lvl w:ilvl="0" w:tplc="1C925A5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autoHyphenation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0DD8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0606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2F7D44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3CCA"/>
    <w:rsid w:val="005E412F"/>
    <w:rsid w:val="005E4A67"/>
    <w:rsid w:val="005E63A1"/>
    <w:rsid w:val="005F3C60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0AC7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36BC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A7937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09B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5D08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2C33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E04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.europa.eu/erasmus-esc-personal-data?lang=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www.ifpan.edu.pl/intranet/ubezpieczenia/sluzbowe-wyjazdy-zagraniczn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11E01-5F1E-4AFE-9CB0-2509152D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Daniel Jakubczyk</cp:lastModifiedBy>
  <cp:revision>3</cp:revision>
  <cp:lastPrinted>2015-03-04T15:51:00Z</cp:lastPrinted>
  <dcterms:created xsi:type="dcterms:W3CDTF">2024-09-02T15:42:00Z</dcterms:created>
  <dcterms:modified xsi:type="dcterms:W3CDTF">2024-09-02T15:53:00Z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